
<file path=[Content_Types].xml><?xml version="1.0" encoding="utf-8"?>
<Types xmlns="http://schemas.openxmlformats.org/package/2006/content-types">
  <Default Extension="xml" ContentType="application/xml"/>
  <Default Extension="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a="http://schemas.openxmlformats.org/draw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left"/>
      </w:pPr>
      <w:r>
        <w:rPr/>
        <w:t>四川省住房城乡建设事业高质量发展“十五五”规划解读-演讲稿</w:t>
      </w:r>
    </w:p>
    <w:p>
      <w:pPr>
        <w:pStyle w:val="3"/>
        <w:jc w:val="left"/>
      </w:pPr>
      <w:r>
        <w:rPr/>
        <w:t>第 1 页</w:t>
      </w:r>
    </w:p>
    <w:p>
      <w:pPr>
        <w:ind w:firstLine="420"/>
        <w:jc w:val="left"/>
      </w:pPr>
      <w:r>
        <w:rPr/>
        <w:t>各位领导、各位住建行业的同仁们，大家好！我是本次规划解读的分享人问筑。</w:t>
      </w:r>
    </w:p>
    <w:p>
      <w:pPr>
        <w:ind w:firstLine="420"/>
        <w:jc w:val="left"/>
      </w:pPr>
      <w:r>
        <w:rPr/>
        <w:t>四川省住房城乡建设事业“十五五”规划，是我省未来五年乃至更长时期住建事业高质量发展的行动纲领，这份规划由四川省住房和城乡建设厅编制印发，今天我们站在2026年的节点对这份纲领性文件进行系统解读，帮助大家准确把握规划方向、核心要求与重点任务，共同推动我省住建事业开创新局面。</w:t>
      </w:r>
    </w:p>
    <w:p>
      <w:pPr>
        <w:ind w:firstLine="420"/>
        <w:jc w:val="left"/>
      </w:pPr>
      <w:r>
        <w:rPr/>
        <w:t>接下来我将为大家逐部分解读规划内容。</w:t>
      </w:r>
    </w:p>
    <w:p>
      <w:pPr>
        <w:pStyle w:val="3"/>
        <w:jc w:val="left"/>
      </w:pPr>
      <w:r>
        <w:rPr/>
        <w:t>第 2 页</w:t>
      </w:r>
    </w:p>
    <w:p>
      <w:pPr>
        <w:ind w:firstLine="420"/>
        <w:jc w:val="left"/>
      </w:pPr>
      <w:r>
        <w:rPr/>
        <w:t>本次规划解读共分为七个相互关联的部分，整体遵循从顶层设计到落地实施的逻辑：首先明确**总体要求与目标**，锚定规划发展方向；其次依次从**城市体系与更新**、**设施提升与镇村**、**住房保障与建筑**、**安全韧性与文化**、**数智转型与治理**五大维度部署具体建设任务；最后提出**规划实施保障**，为规划落地提供支撑，本次解读将按此框架展开。</w:t>
      </w:r>
    </w:p>
    <w:p>
      <w:pPr>
        <w:pStyle w:val="3"/>
        <w:jc w:val="left"/>
      </w:pPr>
      <w:r>
        <w:rPr/>
        <w:t>第 3 页</w:t>
      </w:r>
    </w:p>
    <w:p>
      <w:pPr>
        <w:ind w:firstLine="420"/>
        <w:jc w:val="left"/>
      </w:pPr>
      <w:r>
        <w:rPr/>
        <w:t>刚刚我们梳理了本次规划的整体报告纲要，接下来我们首先解读第一个核心部分：四川省住建事业“十五五”发展的总体要求与目标。本部分将明确规划的指导方向与核心发展愿景，为我们展开后续各个领域的具体部署锚定总航向，我们先来一起理清这份规划的核心遵循与最终指向。</w:t>
      </w:r>
    </w:p>
    <w:p>
      <w:pPr>
        <w:pStyle w:val="3"/>
        <w:jc w:val="left"/>
      </w:pPr>
      <w:r>
        <w:rPr/>
        <w:t>第 4 页</w:t>
      </w:r>
    </w:p>
    <w:p>
      <w:pPr>
        <w:ind w:firstLine="420"/>
        <w:jc w:val="left"/>
      </w:pPr>
      <w:r>
        <w:rPr/>
        <w:t>本次规划锚定2030年发展远景，明确核心发展方向为建设“公园城市、安逸家园”，目标设定清晰可落地：到2030年，该项建设取得标志性进展，初步构建现代化城市体系，大幅提升人居品质，夯实城镇安全运行基础。</w:t>
      </w:r>
    </w:p>
    <w:p>
      <w:pPr>
        <w:ind w:firstLine="420"/>
        <w:jc w:val="left"/>
      </w:pPr>
      <w:r>
        <w:rPr/>
        <w:t>规划编制严格遵循上位要求，以国家及省级战略纲领为根本遵循，衔接国家住建领域“十五五”部署，立足四川发展实际，充分贯彻中央与省委城市工作会议精神，确保方向不偏、定位精准。</w:t>
      </w:r>
    </w:p>
    <w:p>
      <w:pPr>
        <w:ind w:firstLine="420"/>
        <w:jc w:val="left"/>
      </w:pPr>
      <w:r>
        <w:rPr/>
        <w:t>规划确立清晰实施路径，以习近平新时代中国特色社会主义思想为根本指导，践行以人民为中心的发展思想，落实“四化同步、城乡融合、五区共兴”发展战略，以城市更新为核心抓手，系统推进“四好”建设，持续提升行业发展的含“科”量、含“绿”量、含“智”量、含“新”量，全方位开创四川住建事业高质量发展新格局。</w:t>
      </w:r>
    </w:p>
    <w:p>
      <w:pPr>
        <w:pStyle w:val="3"/>
        <w:jc w:val="left"/>
      </w:pPr>
      <w:r>
        <w:rPr/>
        <w:t>第 5 页</w:t>
      </w:r>
    </w:p>
    <w:p>
      <w:pPr>
        <w:ind w:firstLine="420"/>
        <w:jc w:val="left"/>
      </w:pPr>
      <w:r>
        <w:rPr/>
        <w:t>规划以量化指标锚定发展方向，核心指标体系划分两大板块，本页呈现前10项指标，覆盖三大重点建设领域，分别为城市更新、市政设施提升与美丽镇村建设。</w:t>
      </w:r>
    </w:p>
    <w:p>
      <w:pPr>
        <w:ind w:firstLine="420"/>
        <w:jc w:val="left"/>
      </w:pPr>
      <w:r>
        <w:rPr/>
        <w:t>指标设计紧扣四川省住房城乡建设发展实际，明确标注五年累计数值，清晰区分年度目标与周期目标，体现规划的可落地性与可考核性。</w:t>
      </w:r>
    </w:p>
    <w:p>
      <w:pPr>
        <w:ind w:firstLine="420"/>
        <w:jc w:val="left"/>
      </w:pPr>
      <w:r>
        <w:rPr/>
        <w:t>这套量化指标，将抽象发展目标转化为可追踪、可评估的具体任务，为“十五五”期间相关领域建设进度管控，提供明确的考核标尺，保障规划落地成效。</w:t>
      </w:r>
    </w:p>
    <w:p>
      <w:pPr>
        <w:pStyle w:val="3"/>
        <w:jc w:val="left"/>
      </w:pPr>
      <w:r>
        <w:rPr/>
        <w:t>第 6 页</w:t>
      </w:r>
    </w:p>
    <w:p>
      <w:pPr>
        <w:ind w:firstLine="420"/>
        <w:jc w:val="left"/>
      </w:pPr>
      <w:r>
        <w:rPr/>
        <w:t>本部分明确四川省住房城乡建设事业“十五五”时期的量化发展目标，核心聚焦城市更新、设施提升与镇村建设三大领域，共设置10项核心发展指标，构建起可量化、可考核的目标管理体系。</w:t>
      </w:r>
    </w:p>
    <w:p>
      <w:pPr>
        <w:ind w:firstLine="420"/>
        <w:jc w:val="left"/>
      </w:pPr>
      <w:r>
        <w:rPr/>
        <w:t>指标统一采用五年累计值统计方式，既契合五年规划的周期属性，也能精准衡量规划周期内的建设成果，避免年度波动对目标考核的干扰。</w:t>
      </w:r>
    </w:p>
    <w:p>
      <w:pPr>
        <w:ind w:firstLine="420"/>
        <w:jc w:val="left"/>
      </w:pPr>
      <w:r>
        <w:rPr/>
        <w:t>量化指标的设定，锚定“公园城市、安逸家园”的总体发展方向，将城市功能优化、民生福祉提升、城乡融合发展的定性要求，转化为可落地、可监督的刚性目标，为规划实施提供清晰的考核依据，保障各项建设任务按计划推进。</w:t>
      </w:r>
    </w:p>
    <w:p>
      <w:pPr>
        <w:pStyle w:val="3"/>
        <w:jc w:val="left"/>
      </w:pPr>
      <w:r>
        <w:rPr/>
        <w:t>第 7 页</w:t>
      </w:r>
    </w:p>
    <w:p>
      <w:pPr>
        <w:ind w:firstLine="420"/>
        <w:jc w:val="left"/>
      </w:pPr>
      <w:r>
        <w:rPr/>
        <w:t>承接上一页内容，我们继续展示四川省住房城乡建设事业十五五时期的剩余核心发展指标，指标覆盖住房保障、建筑产业、安全韧性、文化保护、数智治理五大核心领域，完整呈现未来五年发展的量化指引。</w:t>
      </w:r>
    </w:p>
    <w:p>
      <w:pPr>
        <w:ind w:firstLine="420"/>
        <w:jc w:val="left"/>
      </w:pPr>
      <w:r>
        <w:rPr/>
        <w:t>本页涉及CIM，也就是城市信息模型相关指标，这一指标锚定了我省城市治理数智转型的核心方向，体现了将数字技术全面融入城市运行体系的发展决心。所有核心指标共同构成可量化、可考核、可落地的目标体系，为全省住房城乡建设事业高质量发展明确清晰的进度标尺，也为各项工作推进提供明确的考核依据。</w:t>
      </w:r>
    </w:p>
    <w:p>
      <w:pPr>
        <w:pStyle w:val="3"/>
        <w:jc w:val="left"/>
      </w:pPr>
      <w:r>
        <w:rPr/>
        <w:t>第 8 页</w:t>
      </w:r>
    </w:p>
    <w:p>
      <w:pPr>
        <w:ind w:firstLine="420"/>
        <w:jc w:val="left"/>
      </w:pPr>
      <w:r>
        <w:rPr/>
        <w:t>推动住房城乡建设领域绿色低碳转型，是落实“双碳”战略、提升行业发展含“绿”量的核心抓手，本次规划明确两项刚性约束指标，锚定转型发展的清晰方向。</w:t>
      </w:r>
    </w:p>
    <w:p>
      <w:pPr>
        <w:ind w:firstLine="420"/>
        <w:jc w:val="left"/>
      </w:pPr>
      <w:r>
        <w:rPr/>
        <w:t>装配式建筑是建筑工业化、绿色化的核心载体，规划设定阶梯式增长目标，要求新开工装配式建筑占新建建筑比例，从2025年的45%提升至2030年的48%，稳步推动建造方式变革。</w:t>
      </w:r>
    </w:p>
    <w:p>
      <w:pPr>
        <w:ind w:firstLine="420"/>
        <w:jc w:val="left"/>
      </w:pPr>
      <w:r>
        <w:rPr/>
        <w:t>星级绿色建筑代表建筑绿色发展的高品质水平，规划明确指标从2025年的30%提升至2030年的35%，持续拉高我省新建建筑的绿色准入门槛，推动人居品质同步升级。约束性指标的设定，彰显了我省推动行业绿色转型的坚定决心。</w:t>
      </w:r>
    </w:p>
    <w:p>
      <w:pPr>
        <w:pStyle w:val="3"/>
        <w:jc w:val="left"/>
      </w:pPr>
      <w:r>
        <w:rPr/>
        <w:t>第 9 页</w:t>
      </w:r>
    </w:p>
    <w:p>
      <w:pPr>
        <w:ind w:firstLine="420"/>
        <w:jc w:val="left"/>
      </w:pPr>
      <w:r>
        <w:rPr/>
        <w:t>刚刚我们已经明确了四川住建“十五五”的整体发展方向与核心量化指标，也确定了绿色低碳转型的刚性目标。接下来，我们就要进入具体落地层面，聊聊如何通过优化城市布局、更新城市空间，来实现“公园城市、安逸家园”的建设目标。接下来我们就从成渝协同到县域支撑，逐一拆解城市体系建设与更新的实施路径。</w:t>
      </w:r>
    </w:p>
    <w:p>
      <w:pPr>
        <w:pStyle w:val="3"/>
        <w:jc w:val="left"/>
      </w:pPr>
      <w:r>
        <w:rPr/>
        <w:t>第 10 页</w:t>
      </w:r>
    </w:p>
    <w:p>
      <w:pPr>
        <w:ind w:firstLine="420"/>
        <w:jc w:val="left"/>
      </w:pPr>
      <w:r>
        <w:rPr/>
        <w:t>成渝地区双城经济圈建设是四川省十五五时期城乡建设发展的核心战略牵引，围绕川渝协同明确四项核心落地任务。统筹基础设施全生命周期一体化规划运营，推动城市运行管理数字化协同打通，打破省域数据壁垒；统一工程建设地方标准与造价管理规则，消除跨区域工程建设的规则障碍；构建住房协同发展机制，优先保障川渝合作平台的住房供给，支撑产业跨区域布局；深化住房公积金跨区域协作，便利人才跨区域流动安居。</w:t>
      </w:r>
    </w:p>
    <w:p>
      <w:pPr>
        <w:ind w:firstLine="420"/>
        <w:jc w:val="left"/>
      </w:pPr>
      <w:r>
        <w:rPr/>
        <w:t>聚焦成都都市圈同城化发展，明确两项核心支撑。优化成都城市发展层级结构，强化各功能板块差异化优势，支撑公园城市示范区建设；以天府新区公园城市先行区建设为突破口，协同推进保障性租赁住房规划，夯实同城化发展的居住基础。</w:t>
      </w:r>
    </w:p>
    <w:p>
      <w:pPr>
        <w:pStyle w:val="3"/>
        <w:jc w:val="left"/>
      </w:pPr>
      <w:r>
        <w:rPr/>
        <w:t>第 11 页</w:t>
      </w:r>
    </w:p>
    <w:p>
      <w:pPr>
        <w:ind w:firstLine="420"/>
        <w:jc w:val="left"/>
      </w:pPr>
      <w:r>
        <w:rPr/>
        <w:t>本页围绕差异化发展与县域支撑，从省到镇分层展开，共4项内容，呈层级递进逻辑：首先是省域副中心，要提升其辐射带动能力，培育建筑业新质生产力；其次是中小城市，需引导节点城市特色化更新，动态优化人口净流出城市设施布局；接下来是县域底座，要全面开展县城体检，打造精品县城并帮扶欠发达县域；最后是中心镇，通过做优做强引领全省小城镇高质量发展。</w:t>
      </w:r>
    </w:p>
    <w:p>
      <w:pPr>
        <w:pStyle w:val="3"/>
        <w:jc w:val="left"/>
      </w:pPr>
      <w:r>
        <w:rPr/>
        <w:t>第 12 页</w:t>
      </w:r>
    </w:p>
    <w:p>
      <w:pPr>
        <w:ind w:firstLine="420"/>
        <w:jc w:val="left"/>
      </w:pPr>
      <w:r>
        <w:rPr/>
        <w:t>城市更新不是零散的拆建工程，而是系统性的城市功能重塑，本次规划确立“体检评估—片区实施—运营思维”的完整闭环，从三个维度健全城市更新模式机制。</w:t>
      </w:r>
    </w:p>
    <w:p>
      <w:pPr>
        <w:ind w:firstLine="420"/>
        <w:jc w:val="left"/>
      </w:pPr>
      <w:r>
        <w:rPr/>
        <w:t>构建分层分级的规划实施体系，持续推进地级及以上城市常态化体检，结合城市痛点开展专项体检，搭建“专项规划—片区策划—项目实施方案”的落地路径，启动城市更新百片千亿焕新工程，夯实更新工作的实施基础。</w:t>
      </w:r>
    </w:p>
    <w:p>
      <w:pPr>
        <w:ind w:firstLine="420"/>
        <w:jc w:val="left"/>
      </w:pPr>
      <w:r>
        <w:rPr/>
        <w:t>完善符合存量发展规律的实施机制，梳理存量资源利用正负面清单，推动开发逻辑从传统工程思维转向全周期运营思维，统筹协调策划、规划、设计、投资、建设、运营全流程要素，保障更新项目长期可持续。</w:t>
      </w:r>
    </w:p>
    <w:p>
      <w:pPr>
        <w:ind w:firstLine="420"/>
        <w:jc w:val="left"/>
      </w:pPr>
      <w:r>
        <w:rPr/>
        <w:t>强化城市更新全链条要素保障，突出城市设计的引领作用，探索建立科学的城市发展评价体系，构建多元主体参与的投融资机制，创新利益分配模式吸引社会资本介入，破解城市更新资金难题。</w:t>
      </w:r>
    </w:p>
    <w:p>
      <w:pPr>
        <w:pStyle w:val="3"/>
        <w:jc w:val="left"/>
      </w:pPr>
      <w:r>
        <w:rPr/>
        <w:t>第 13 页</w:t>
      </w:r>
    </w:p>
    <w:p>
      <w:pPr>
        <w:ind w:firstLine="420"/>
        <w:jc w:val="left"/>
      </w:pPr>
      <w:r>
        <w:rPr/>
        <w:t>分类推进城市存量空间更新活化，聚焦老旧街区、老旧厂区与公共空间三大核心领域，兼顾民生改善、经济活力与文化传承三大目标。</w:t>
      </w:r>
    </w:p>
    <w:p>
      <w:pPr>
        <w:ind w:firstLine="420"/>
        <w:jc w:val="left"/>
      </w:pPr>
      <w:r>
        <w:rPr/>
        <w:t>针对不同类型街区实施差异化更新策略。聚焦生活街区核心诉求，优先改善原住居民居住条件；围绕商业街区功能属性，精准营造优质消费场景；针对历史文化街区，重点开展保护性整治修缮，留存城市文化根脉。</w:t>
      </w:r>
    </w:p>
    <w:p>
      <w:pPr>
        <w:ind w:firstLine="420"/>
        <w:jc w:val="left"/>
      </w:pPr>
      <w:r>
        <w:rPr/>
        <w:t>统筹活化低效存量资源，依托市场化机制盘活老旧厂区，完善配套设施并植入新产业新业态。统筹闲置房屋与低效用地，打造高品质公共空间，推进低效轨道交通场站一体化改造，助力产城深度融合。</w:t>
      </w:r>
    </w:p>
    <w:p>
      <w:pPr>
        <w:ind w:firstLine="420"/>
        <w:jc w:val="left"/>
      </w:pPr>
      <w:r>
        <w:rPr/>
        <w:t>严守文化保护底线，保护老城区原生山水格局、传统空间肌理与街巷风貌，严格管控超高层建筑与超大体量建设，守住城市文化特质与空间尺度。</w:t>
      </w:r>
    </w:p>
    <w:p>
      <w:pPr>
        <w:pStyle w:val="3"/>
        <w:jc w:val="left"/>
      </w:pPr>
      <w:r>
        <w:rPr/>
        <w:t>第 14 页</w:t>
      </w:r>
    </w:p>
    <w:p>
      <w:pPr>
        <w:ind w:firstLine="420"/>
        <w:jc w:val="left"/>
      </w:pPr>
      <w:r>
        <w:rPr/>
        <w:t>前面我们从空间布局、模式机制、更新场景等层面，梳理了城市更新的整体框架与重点方向。接下来这个专栏，我们将进一步明确城市更新的落地抓手，通过具体行动工程把规划部署转化为可实施的项目。这些行动工程将如何支撑城市更新目标落地，我们一起来看具体内容。</w:t>
      </w:r>
    </w:p>
    <w:p>
      <w:pPr>
        <w:pStyle w:val="3"/>
        <w:jc w:val="left"/>
      </w:pPr>
      <w:r>
        <w:rPr/>
        <w:t>第 15 页</w:t>
      </w:r>
    </w:p>
    <w:p>
      <w:pPr>
        <w:ind w:firstLine="420"/>
        <w:jc w:val="left"/>
      </w:pPr>
      <w:r>
        <w:rPr/>
        <w:t>前面我们已经梳理完城市更新重点板块的空间改造与活化路径，接下来要转向更基础的支撑层面——城镇设施功能升级。这一章我们聚焦“提升设施效能，建设美丽镇村”，从市政提质、镇村宜居到城乡融合，具体拆解设施建设的重点方向，接下来我们先看地面与低空领域的布局优化。</w:t>
      </w:r>
    </w:p>
    <w:p>
      <w:pPr>
        <w:pStyle w:val="3"/>
        <w:jc w:val="left"/>
      </w:pPr>
      <w:r>
        <w:rPr/>
        <w:t>第 16 页</w:t>
      </w:r>
    </w:p>
    <w:p>
      <w:pPr>
        <w:ind w:firstLine="420"/>
        <w:jc w:val="left"/>
      </w:pPr>
      <w:r>
        <w:rPr/>
        <w:t>构建高效通达的城市交通网络，是支撑城市运行、激活发展动能的核心基础，本次规划从地面交通优化与新兴业态布局两个维度推进体系升级。</w:t>
      </w:r>
    </w:p>
    <w:p>
      <w:pPr>
        <w:ind w:firstLine="420"/>
        <w:jc w:val="left"/>
      </w:pPr>
      <w:r>
        <w:rPr/>
        <w:t>完善地面交通功能层面，有序搭建城市快速干线系统，层级化优化主次干支路网结构，打通制约通行效率的断点堵点；完成危旧桥梁隧道加固改造，搭建智能感知、协同管控的数字化路网，提升道路运行安全性；统筹建设非机动车道与慢行系统，补齐城市停车设施供给短板；同步配套川藏铁路四川段沿线城市的交通枢纽建设，强化重大工程的辐射带动效应。</w:t>
      </w:r>
    </w:p>
    <w:p>
      <w:pPr>
        <w:ind w:firstLine="420"/>
        <w:jc w:val="left"/>
      </w:pPr>
      <w:r>
        <w:rPr/>
        <w:t>抢抓低空经济发展机遇，探索布局城镇低空基础设施，结合各地发展实际预留低空起降空间，推动智慧多功能杆与无人机起降设施融合建设，为新兴产业发展预留充足空间。</w:t>
      </w:r>
    </w:p>
    <w:p>
      <w:pPr>
        <w:pStyle w:val="3"/>
        <w:jc w:val="left"/>
      </w:pPr>
      <w:r>
        <w:rPr/>
        <w:t>第 17 页</w:t>
      </w:r>
    </w:p>
    <w:p>
      <w:pPr>
        <w:ind w:firstLine="420"/>
        <w:jc w:val="left"/>
      </w:pPr>
      <w:r>
        <w:rPr/>
        <w:t>供水安全是城市运行的核心底线，直接关系民生福祉与城市功能稳定运行，本次城市更新行动围绕水源、水厂、管网全链条推进供水系统提质升级，构建覆盖全流程的安全保障体系。</w:t>
      </w:r>
    </w:p>
    <w:p>
      <w:pPr>
        <w:ind w:firstLine="420"/>
        <w:jc w:val="left"/>
      </w:pPr>
      <w:r>
        <w:rPr/>
        <w:t>筑牢水源保障防线，加快单一水源供水城市应急备用水源建设，推动水质不稳定水厂完成提标改造，从源头切断供水安全风险。</w:t>
      </w:r>
    </w:p>
    <w:p>
      <w:pPr>
        <w:ind w:firstLine="420"/>
        <w:jc w:val="left"/>
      </w:pPr>
      <w:r>
        <w:rPr/>
        <w:t>完成二次供水设施更新改造，推动设施有序移交，理顺管理权责，解决供水“最后一公里”的老旧设施安全隐患。</w:t>
      </w:r>
    </w:p>
    <w:p>
      <w:pPr>
        <w:ind w:firstLine="420"/>
        <w:jc w:val="left"/>
      </w:pPr>
      <w:r>
        <w:rPr/>
        <w:t>开展供水管网提质行动，强化水质全过程监测，推进管网漏损治理，针对四川高寒高海拔区域专项完成供水系统防冻升级，因地制宜拓展管道直饮水系统建设，持续提升居民供水品质。</w:t>
      </w:r>
    </w:p>
    <w:p>
      <w:pPr>
        <w:pStyle w:val="3"/>
        <w:jc w:val="left"/>
      </w:pPr>
      <w:r>
        <w:rPr/>
        <w:t>第 18 页</w:t>
      </w:r>
    </w:p>
    <w:p>
      <w:pPr>
        <w:ind w:firstLine="420"/>
        <w:jc w:val="left"/>
      </w:pPr>
      <w:r>
        <w:rPr/>
        <w:t>城市水系统治理承载着安全运行与生态保护双重使命，本项工作围绕排水防涝与污水治理两大核心板块系统推进。</w:t>
      </w:r>
    </w:p>
    <w:p>
      <w:pPr>
        <w:ind w:firstLine="420"/>
        <w:jc w:val="left"/>
      </w:pPr>
      <w:r>
        <w:rPr/>
        <w:t>排水防涝构建“源头防控+应急处置”双层体系，前端因地制宜推进海绵城市建设，同步完善雨洪调蓄设施与排涝通道，从源头消解内涝风险；后端强化国省级排水防涝应急救援基地运维，全面提升突发内涝的处置响应能力。</w:t>
      </w:r>
    </w:p>
    <w:p>
      <w:pPr>
        <w:ind w:firstLine="420"/>
        <w:jc w:val="left"/>
      </w:pPr>
      <w:r>
        <w:rPr/>
        <w:t>污水治理实施三项专业化升级，推进生活污水管网精细化治理，落实“厂网一体”专业化运维，保障收集处理体系高效运转；推动污水处理厂设施更新与提标改造，攻克高寒高海拔地区污水处理技术难题，强化新污染物去除能力；完善再生水利用配套设施，同步实现污泥无害化处置与资源化循环利用，构建闭环绿色治理体系。</w:t>
      </w:r>
    </w:p>
    <w:p>
      <w:pPr>
        <w:pStyle w:val="3"/>
        <w:jc w:val="left"/>
      </w:pPr>
      <w:r>
        <w:rPr/>
        <w:t>第 19 页</w:t>
      </w:r>
    </w:p>
    <w:p>
      <w:pPr>
        <w:ind w:firstLine="420"/>
        <w:jc w:val="left"/>
      </w:pPr>
      <w:r>
        <w:rPr/>
        <w:t>本部分围绕补齐高寒高海拔地区能源供应短板，设置四项递进落地举措：首先优化燃气场站与管网布局，完成设施更新及互联互通，夯实燃气供应基础；其次强化燃气安全管理，推进瓶装液化石油气厂站标准化改造，筑牢安全底线；接着推进集中供热设施及管网更新改造，补齐高寒地区供热短板；最后协同分步实施高寒高海拔城市供氧设施建设，完善特殊地理区域民生保障。</w:t>
      </w:r>
    </w:p>
    <w:p>
      <w:pPr>
        <w:pStyle w:val="3"/>
        <w:jc w:val="left"/>
      </w:pPr>
      <w:r>
        <w:rPr/>
        <w:t>第 20 页</w:t>
      </w:r>
    </w:p>
    <w:p>
      <w:pPr>
        <w:ind w:firstLine="420"/>
        <w:jc w:val="left"/>
      </w:pPr>
      <w:r>
        <w:rPr/>
        <w:t>垃圾治理与资源化利用是市政设施提质、建设美丽城乡的核心环节，兼具生态价值与循环经济增益，我省构建起覆盖生活垃圾、建筑垃圾两大品类的完整治理体系。</w:t>
      </w:r>
    </w:p>
    <w:p>
      <w:pPr>
        <w:ind w:firstLine="420"/>
        <w:jc w:val="left"/>
      </w:pPr>
      <w:r>
        <w:rPr/>
        <w:t>针对生活垃圾治理，首先推进分类施策，结合各地实际落地分类方案，同步优化可回收物回收网点布局，规范大件垃圾收运管理，夯实分类运行基础。其次统筹处理设施建设，科学规划焚烧处理设施布局，有序推进厨余垃圾集中处理设施落地，健全末端处理能力。</w:t>
      </w:r>
    </w:p>
    <w:p>
      <w:pPr>
        <w:ind w:firstLine="420"/>
        <w:jc w:val="left"/>
      </w:pPr>
      <w:r>
        <w:rPr/>
        <w:t>针对建筑垃圾治理，一方面强化前端管控，推动源头分类收集，加快资源化利用设施建设，探索跨县域协同处置模式，提升资源转化效率。另一方面规范末端处置流程，严格落实处置核准与方案备案制度，健全常态化治理与联合执法机制，保障治理体系规范运行。</w:t>
      </w:r>
    </w:p>
    <w:p>
      <w:pPr>
        <w:pStyle w:val="3"/>
        <w:jc w:val="left"/>
      </w:pPr>
      <w:r>
        <w:rPr/>
        <w:t>第 21 页</w:t>
      </w:r>
    </w:p>
    <w:p>
      <w:pPr>
        <w:ind w:firstLine="420"/>
        <w:jc w:val="left"/>
      </w:pPr>
      <w:r>
        <w:rPr/>
        <w:t>刚刚我们从交通、供水、排水防涝、能源供应到垃圾治理，梳理了市政设施领域的一系列提质升级方向。接下来，我们把这些规划整合为专栏3的市政设施提升专项行动工程，统一明确落地实施的具体抓手，也为后续讨论镇村建设的相关行动做好铺垫。</w:t>
      </w:r>
    </w:p>
    <w:p>
      <w:pPr>
        <w:pStyle w:val="3"/>
        <w:jc w:val="left"/>
      </w:pPr>
      <w:r>
        <w:rPr/>
        <w:t>第 22 页</w:t>
      </w:r>
    </w:p>
    <w:p>
      <w:pPr>
        <w:ind w:firstLine="420"/>
        <w:jc w:val="left"/>
      </w:pPr>
      <w:r>
        <w:rPr/>
        <w:t>我国城镇化发展已进入从规模扩张转向质量提升的新阶段，小城镇作为连接城市与乡村的关键节点，需实施差异化发展策略，构建层级清晰、功能互补的镇村发展格局。</w:t>
      </w:r>
    </w:p>
    <w:p>
      <w:pPr>
        <w:ind w:firstLine="420"/>
        <w:jc w:val="left"/>
      </w:pPr>
      <w:r>
        <w:rPr/>
        <w:t>第一梯度聚焦重点中心镇培育，做大做强省级百强中心镇，打造县域副中心，依托资源禀赋培育专业特色镇，强化城镇集聚辐射功能。第二梯度推进特大镇功能提质，对标城市标准补齐基础设施短板，打造宜居宜业的新型城镇节点。第三梯度夯实一般镇基础保障，推进设施微改造，推动污水垃圾处理设施跨区域共建共享，降低公共服务成本。</w:t>
      </w:r>
    </w:p>
    <w:p>
      <w:pPr>
        <w:ind w:firstLine="420"/>
        <w:jc w:val="left"/>
      </w:pPr>
      <w:r>
        <w:rPr/>
        <w:t>聚焦乡村人居环境改善，持续开展乡村建设评价，引导构建适度聚居的乡村空间格局，健全生活垃圾收运处置长效机制，以钉钉子精神根治垃圾围村问题，夯实宜居宜业和美乡村建设基础。</w:t>
      </w:r>
    </w:p>
    <w:p>
      <w:pPr>
        <w:pStyle w:val="3"/>
        <w:jc w:val="left"/>
      </w:pPr>
      <w:r>
        <w:rPr/>
        <w:t>第 23 页</w:t>
      </w:r>
    </w:p>
    <w:p>
      <w:pPr>
        <w:ind w:firstLine="420"/>
        <w:jc w:val="left"/>
      </w:pPr>
      <w:r>
        <w:rPr/>
        <w:t>建设现代宜居农房是宜居宜业和美乡村建设的核心抓手，四川通过五项系统性举措，全方位推动农房建设提质升级，兼顾安全底线与品质提升。</w:t>
      </w:r>
    </w:p>
    <w:p>
      <w:pPr>
        <w:ind w:firstLine="420"/>
        <w:jc w:val="left"/>
      </w:pPr>
      <w:r>
        <w:rPr/>
        <w:t>严格落实《四川省农村住房建设管理办法》，规范农房建设全流程管理程序，夯实农房建设制度基础。常态化开展既有农房安全隐患排查整治，为符合条件的防返贫致贫对象提供危房改造支持，守住住房安全底线。</w:t>
      </w:r>
    </w:p>
    <w:p>
      <w:pPr>
        <w:ind w:firstLine="420"/>
        <w:jc w:val="left"/>
      </w:pPr>
      <w:r>
        <w:rPr/>
        <w:t>深入推动地震高烈度区域农房抗震改造，引导农户自主消弭抗震安全隐患，提升农房灾害抵御能力。推广装配式农房与现代宜居户型，结合地域特色编制农房设计图集，引导农户提升农房风貌。引导乡村建设工匠参与农房建设，持续推动设计下乡资源下沉，为农房建设提供全流程技术帮扶。</w:t>
      </w:r>
    </w:p>
    <w:p>
      <w:pPr>
        <w:pStyle w:val="3"/>
        <w:jc w:val="left"/>
      </w:pPr>
      <w:r>
        <w:rPr/>
        <w:t>第 24 页</w:t>
      </w:r>
    </w:p>
    <w:p>
      <w:pPr>
        <w:ind w:firstLine="420"/>
        <w:jc w:val="left"/>
      </w:pPr>
      <w:r>
        <w:rPr/>
        <w:t>刚才我们梳理了小城镇梯次发展与乡村人居环境改善的具体方向，也明确了现代宜居农房建设的五项核心举措，这些都指向镇村发展的落地实施。接下来这个专栏，就是把刚才提到的各项任务整合为可推进的镇村建设专项行动工程，我们这就来看具体的行动安排。</w:t>
      </w:r>
    </w:p>
    <w:p>
      <w:pPr>
        <w:pStyle w:val="3"/>
        <w:jc w:val="left"/>
      </w:pPr>
      <w:r>
        <w:rPr/>
        <w:t>第 25 页</w:t>
      </w:r>
    </w:p>
    <w:p>
      <w:pPr>
        <w:ind w:firstLine="420"/>
        <w:jc w:val="left"/>
      </w:pPr>
      <w:r>
        <w:rPr/>
        <w:t>前面我们已经梳理了镇村建设相关的规划部署，聚焦了人居环境提升与农房建设的具体安排。接下来我们将转向民生安居与产业发展领域，围绕实现住有所居、建设建筑强省的目标，从住房保障体系完善与建筑业转型升级两大维度展开部署。我们先来看看优化保障性住房供给的具体安排。</w:t>
      </w:r>
    </w:p>
    <w:p>
      <w:pPr>
        <w:pStyle w:val="3"/>
        <w:jc w:val="left"/>
      </w:pPr>
      <w:r>
        <w:rPr/>
        <w:t>第 26 页</w:t>
      </w:r>
    </w:p>
    <w:p>
      <w:pPr>
        <w:ind w:firstLine="420"/>
        <w:jc w:val="left"/>
      </w:pPr>
      <w:r>
        <w:rPr/>
        <w:t>四川构建覆盖不同收入群体的梯度住房供应体系，形成公租房、保租房、配售型保障房到商品房的完整保障链条，通过新建、改建、收购多渠道拓宽保障性住房房源供给。</w:t>
      </w:r>
    </w:p>
    <w:p>
      <w:pPr>
        <w:ind w:firstLine="420"/>
        <w:jc w:val="left"/>
      </w:pPr>
      <w:r>
        <w:rPr/>
        <w:t>体系突出兜底保障与精准适配双重定位，对低保住房困难家庭实现依申请应保尽保，同时将未落户常住人口纳入保障范围；针对新市民、青年人的多元居住需求，提供“一张床、一间房、一套房”的分层供给，稳妥推进配售型保障房建设，匹配差异化职住需求。</w:t>
      </w:r>
    </w:p>
    <w:p>
      <w:pPr>
        <w:ind w:firstLine="420"/>
        <w:jc w:val="left"/>
      </w:pPr>
      <w:r>
        <w:rPr/>
        <w:t>保障体系搭建全流程闭环管理制度，健全申请、轮候、配租配售、使用、退出全环节规则，坚持以需定建、以需定购避免资源错配。本轮规划明确开工建设筹集保障性住房约6万套（间），发放保障性住房租赁补贴覆盖约20万户，切实落实住有所居的发展目标。</w:t>
      </w:r>
    </w:p>
    <w:p>
      <w:pPr>
        <w:pStyle w:val="3"/>
        <w:jc w:val="left"/>
      </w:pPr>
      <w:r>
        <w:rPr/>
        <w:t>第 27 页</w:t>
      </w:r>
    </w:p>
    <w:p>
      <w:pPr>
        <w:ind w:firstLine="420"/>
        <w:jc w:val="left"/>
      </w:pPr>
      <w:r>
        <w:rPr/>
        <w:t>精准锚定房地产行业平稳健康发展核心目标，从市场、风险、结构三个维度构建系统化调控框架。</w:t>
      </w:r>
    </w:p>
    <w:p>
      <w:pPr>
        <w:ind w:firstLine="420"/>
        <w:jc w:val="left"/>
      </w:pPr>
      <w:r>
        <w:rPr/>
        <w:t>依托“人房地钱”要素联动机制落地住房发展行动计划，实现人口规模与住房供给的动态匹配，从源头避免供需错配。</w:t>
      </w:r>
    </w:p>
    <w:p>
      <w:pPr>
        <w:ind w:firstLine="420"/>
        <w:jc w:val="left"/>
      </w:pPr>
      <w:r>
        <w:rPr/>
        <w:t>构建土地供应与人口变化、库存去化周期的联动调节机制，搭建多层次融资体系，通过房地产项目“白名单”常态化运行，筑牢行业风险防控底线。</w:t>
      </w:r>
    </w:p>
    <w:p>
      <w:pPr>
        <w:ind w:firstLine="420"/>
        <w:jc w:val="left"/>
      </w:pPr>
      <w:r>
        <w:rPr/>
        <w:t>因地制宜优化房地产政策，拓展“房票安置”应用场景释放消费潜力，针对重点群体完善梯度住房补贴机制，同时遵循市场化法治化原则化解企业债务风险，持续巩固保交楼工作成果，推动行业结构优化升级。</w:t>
      </w:r>
    </w:p>
    <w:p>
      <w:pPr>
        <w:pStyle w:val="3"/>
        <w:jc w:val="left"/>
      </w:pPr>
      <w:r>
        <w:rPr/>
        <w:t>第 28 页</w:t>
      </w:r>
    </w:p>
    <w:p>
      <w:pPr>
        <w:ind w:firstLine="420"/>
        <w:jc w:val="left"/>
      </w:pPr>
      <w:r>
        <w:rPr/>
        <w:t>我国房地产行业已经进入存量发展新阶段，四川紧扣行业转型趋势，明确“盘活存量、激活置换、推动转型”的核心发展路径，系统性破解行业增长瓶颈。</w:t>
      </w:r>
    </w:p>
    <w:p>
      <w:pPr>
        <w:ind w:firstLine="420"/>
        <w:jc w:val="left"/>
      </w:pPr>
      <w:r>
        <w:rPr/>
        <w:t>第一，推进存量资产精准盘活，以实际需求为核心收购存量住房，补充保障性住房等各类房源供给，同时推动闲置商办用房转性改造，激活低效不动产的公共服务价值。</w:t>
      </w:r>
    </w:p>
    <w:p>
      <w:pPr>
        <w:ind w:firstLine="420"/>
        <w:jc w:val="left"/>
      </w:pPr>
      <w:r>
        <w:rPr/>
        <w:t>第二，打通一二手住房市场联动，优化“以旧换新”政策，推行二手房“带押过户”与资金监管，降低交易成本，激活住房流通市场。</w:t>
      </w:r>
    </w:p>
    <w:p>
      <w:pPr>
        <w:ind w:firstLine="420"/>
        <w:jc w:val="left"/>
      </w:pPr>
      <w:r>
        <w:rPr/>
        <w:t>第三，推动业态多元化创新，引导企业参与城市更新等民生项目，依托本地特色资源开发康养旅居等高品质差异化产品。</w:t>
      </w:r>
    </w:p>
    <w:p>
      <w:pPr>
        <w:ind w:firstLine="420"/>
        <w:jc w:val="left"/>
      </w:pPr>
      <w:r>
        <w:rPr/>
        <w:t>第四，推动开发企业战略转型，鼓励探索轻资产运营模式，完成从单一开发向综合运营的职能升级。</w:t>
      </w:r>
    </w:p>
    <w:p>
      <w:pPr>
        <w:pStyle w:val="3"/>
        <w:jc w:val="left"/>
      </w:pPr>
      <w:r>
        <w:rPr/>
        <w:t>第 29 页</w:t>
      </w:r>
    </w:p>
    <w:p>
      <w:pPr>
        <w:ind w:firstLine="420"/>
        <w:jc w:val="left"/>
      </w:pPr>
      <w:r>
        <w:rPr/>
        <w:t>聚焦住有所居的核心目标，四川提出打造“川居好房”品牌，推动住房供给从“有房住”向“住好房”升级，核心从品质提升和服务优化两方面推进。</w:t>
      </w:r>
    </w:p>
    <w:p>
      <w:pPr>
        <w:ind w:firstLine="420"/>
        <w:jc w:val="left"/>
      </w:pPr>
      <w:r>
        <w:rPr/>
        <w:t>在品质端，围绕安全舒适、绿色智慧四大核心方向推进三项重点工作，突破住房品质提升关键技术、完善地方标准体系，加速新型建材研发应用，重点优化住房基础居住性能，推广智能绿色建造模式，同时支持老旧住房完成适老化与智能化改造，打造一批品质标杆项目。</w:t>
      </w:r>
    </w:p>
    <w:p>
      <w:pPr>
        <w:ind w:firstLine="420"/>
        <w:jc w:val="left"/>
      </w:pPr>
      <w:r>
        <w:rPr/>
        <w:t>在服务端，聚焦物业服务升级落地两项举措，完善物业费动态调整机制与服务质量评价标准，推动物业服务打破小区公共服务边界，向养老、托育等家庭需求延伸，同时补齐老旧小区物业服务短板，实现居住品质与配套服务同步提升。</w:t>
      </w:r>
    </w:p>
    <w:p>
      <w:pPr>
        <w:pStyle w:val="3"/>
        <w:jc w:val="left"/>
      </w:pPr>
      <w:r>
        <w:rPr/>
        <w:t>第 30 页</w:t>
      </w:r>
    </w:p>
    <w:p>
      <w:pPr>
        <w:ind w:firstLine="420"/>
        <w:jc w:val="left"/>
      </w:pPr>
      <w:r>
        <w:rPr/>
        <w:t>房地产行业平稳健康发展，离不开系统性基础制度的支撑，完善制度框架，方能为行业新模式构建筑牢护航屏障。</w:t>
      </w:r>
    </w:p>
    <w:p>
      <w:pPr>
        <w:ind w:firstLine="420"/>
        <w:jc w:val="left"/>
      </w:pPr>
      <w:r>
        <w:rPr/>
        <w:t>做实房地产开发项目公司制，明确界定投资方与项目主体的权利义务边界，从源头厘清权责关系，降低项目运行的不确定性。推行房地产项目融资主办银行制，搭建利益共享、风险共担的银企合作机制，强化资金端风险管控能力。</w:t>
      </w:r>
    </w:p>
    <w:p>
      <w:pPr>
        <w:ind w:firstLine="420"/>
        <w:jc w:val="left"/>
      </w:pPr>
      <w:r>
        <w:rPr/>
        <w:t>推进商品住房现房销售制度，落实所见即所得的购房体验，同时严格把控预售准入门槛，规范预售资金全流程监管，从交易端保障购房者合法权益。深化住房公积金制度改革，覆盖灵活就业人员与新就业形态劳动者，同步扩大公积金使用范围，强化资金运行监测与贷款风险防控，全面提升公积金制度的适配性与安全性。</w:t>
      </w:r>
    </w:p>
    <w:p>
      <w:pPr>
        <w:pStyle w:val="3"/>
        <w:jc w:val="left"/>
      </w:pPr>
      <w:r>
        <w:rPr/>
        <w:t>第 31 页</w:t>
      </w:r>
    </w:p>
    <w:p>
      <w:pPr>
        <w:ind w:firstLine="420"/>
        <w:jc w:val="left"/>
      </w:pPr>
      <w:r>
        <w:rPr/>
        <w:t>建筑产业的转型提质，是构建房地产发展新模式、推动建筑业高质量发展的核心支撑，四川明确以智能建造、绿色建造、装配式建筑、绿色建材四大方向协同发力，锚定清晰的产业培育目标推进升级。</w:t>
      </w:r>
    </w:p>
    <w:p>
      <w:pPr>
        <w:ind w:firstLine="420"/>
        <w:jc w:val="left"/>
      </w:pPr>
      <w:r>
        <w:rPr/>
        <w:t>智能建造聚焦全产业链数字化培育，推动BIM技术覆盖项目全过程，打通从勘察到运维的数字链路。绿色建造要求新建建筑全面达标，有序推进光伏一体化布局，落实双碳发展要求。装配式建筑重点搭建标准化构件体系，明确公共建筑优先推广钢结构，提升建造效率。绿色建材聚焦产品推广与产业集群打造，推动新型材料规模化应用。</w:t>
      </w:r>
    </w:p>
    <w:p>
      <w:pPr>
        <w:ind w:firstLine="420"/>
        <w:jc w:val="left"/>
      </w:pPr>
      <w:r>
        <w:rPr/>
        <w:t>本次行动设定明确量化目标，将培育20家“链主”企业、70家全过程咨询骨干企业、30家国家级专精特新企业，完成500个省级智能建造项目突破，为产业转型筑牢主体支撑。</w:t>
      </w:r>
    </w:p>
    <w:p>
      <w:pPr>
        <w:pStyle w:val="3"/>
        <w:jc w:val="left"/>
      </w:pPr>
      <w:r>
        <w:rPr/>
        <w:t>第 32 页</w:t>
      </w:r>
    </w:p>
    <w:p>
      <w:pPr>
        <w:ind w:firstLine="420"/>
        <w:jc w:val="left"/>
      </w:pPr>
      <w:r>
        <w:rPr/>
        <w:t>建筑产业优化升级，核心在于优化产业结构、培育优质市场主体，推动大中小企业实现融通发展，落实国家重大发展战略。</w:t>
      </w:r>
    </w:p>
    <w:p>
      <w:pPr>
        <w:ind w:firstLine="420"/>
        <w:jc w:val="left"/>
      </w:pPr>
      <w:r>
        <w:rPr/>
        <w:t>精准拓展新兴赛道，要深耕城市更新、轨道交通、水利水电、新能源等成熟领域，前瞻布局超低能耗建筑、光伏建筑一体化等新赛道，深度参与智慧城市、人工智能、通信网络、低空经济等新型基础设施建设，打开行业增长新空间。</w:t>
      </w:r>
    </w:p>
    <w:p>
      <w:pPr>
        <w:ind w:firstLine="420"/>
        <w:jc w:val="left"/>
      </w:pPr>
      <w:r>
        <w:rPr/>
        <w:t>创新工程组织模式，以政府投资项目为试点，推行工程总承包与全过程工程咨询，打通勘察、设计、监理、造价各环节的协同壁垒。同时推动市场向外延伸，深耕国内重点区域，做大“川建工”品牌影响力，组织企业抱团开拓海外市场。</w:t>
      </w:r>
    </w:p>
    <w:p>
      <w:pPr>
        <w:ind w:firstLine="420"/>
        <w:jc w:val="left"/>
      </w:pPr>
      <w:r>
        <w:rPr/>
        <w:t>分层培育市场主体，重点打造覆盖全链条能力的“城市合伙人”领军企业，专项培育建筑领域专精特新中小企业，明确3000万元以下项目定向面向中小企业发包，构建层级分明、优势互补的产业生态。</w:t>
      </w:r>
    </w:p>
    <w:p>
      <w:pPr>
        <w:pStyle w:val="3"/>
        <w:jc w:val="left"/>
      </w:pPr>
      <w:r>
        <w:rPr/>
        <w:t>第 33 页</w:t>
      </w:r>
    </w:p>
    <w:p>
      <w:pPr>
        <w:ind w:firstLine="420"/>
        <w:jc w:val="left"/>
      </w:pPr>
      <w:r>
        <w:rPr/>
        <w:t>规范建筑市场秩序，构建从准入到结算的全链条闭环管理体系，为产业转型筑牢运行根基。</w:t>
      </w:r>
    </w:p>
    <w:p>
      <w:pPr>
        <w:ind w:firstLine="420"/>
        <w:jc w:val="left"/>
      </w:pPr>
      <w:r>
        <w:rPr/>
        <w:t>第一环节聚焦前端监管，推行企业资质智能审批与动态监管体系，重拳整治挂证、挂靠等行业乱象，完善统一市场信用评价机制；同时深化招投标制度改革，落实“评定分离”机制明确招标人主体权责，强化标后履约监管，从源头净化市场环境。</w:t>
      </w:r>
    </w:p>
    <w:p>
      <w:pPr>
        <w:ind w:firstLine="420"/>
        <w:jc w:val="left"/>
      </w:pPr>
      <w:r>
        <w:rPr/>
        <w:t>第二环节聚焦中端造价，针对城市更新、智能建造等新兴领域完善工程计价依据，引入人工智能技术赋能造价咨询与工程量核算，升级工程款支付机制，推广施工过程结算与保函替代制度，有效释放企业沉淀资金，破解行业现金流痛点。</w:t>
      </w:r>
    </w:p>
    <w:p>
      <w:pPr>
        <w:ind w:firstLine="420"/>
        <w:jc w:val="left"/>
      </w:pPr>
      <w:r>
        <w:rPr/>
        <w:t>第三环节聚焦后端结算，建立多元化解处置渠道，高效解决工程结算争议，打通行业运行的最后一环。</w:t>
      </w:r>
    </w:p>
    <w:p>
      <w:pPr>
        <w:pStyle w:val="3"/>
        <w:jc w:val="left"/>
      </w:pPr>
      <w:r>
        <w:rPr/>
        <w:t>第 34 页</w:t>
      </w:r>
    </w:p>
    <w:p>
      <w:pPr>
        <w:ind w:firstLine="420"/>
        <w:jc w:val="left"/>
      </w:pPr>
      <w:r>
        <w:rPr/>
        <w:t>刚刚我们已经从产业转型、主体培优、市场规范三个维度梳理了建筑业的升级路径，接下来我们将通过专栏6的建筑强省五大专项行动，对全链条升级任务做系统整合落地，这五大行动将具体如何支撑四川建筑产业实现提质升级？我们接下来逐一展开说明。</w:t>
      </w:r>
    </w:p>
    <w:p>
      <w:pPr>
        <w:pStyle w:val="3"/>
        <w:jc w:val="left"/>
      </w:pPr>
      <w:r>
        <w:rPr/>
        <w:t>第 35 页</w:t>
      </w:r>
    </w:p>
    <w:p>
      <w:pPr>
        <w:ind w:firstLine="420"/>
        <w:jc w:val="left"/>
      </w:pPr>
      <w:r>
        <w:rPr/>
        <w:t>刚刚我们从产业培育、主体培优、市场规范全链条梳理了建筑产业转型提质的核心路径，完成了建筑业升级的系统性部署。接下来我们将转向城市发展的两大底线支撑，一是筑牢城镇安全韧性根基，守护城市运行安全；二是活化历史文化资源，传承城市文脉。接下来我们就展开这两部分内容。</w:t>
      </w:r>
    </w:p>
    <w:p>
      <w:pPr>
        <w:pStyle w:val="3"/>
        <w:jc w:val="left"/>
      </w:pPr>
      <w:r>
        <w:rPr/>
        <w:t>第 36 页</w:t>
      </w:r>
    </w:p>
    <w:p>
      <w:pPr>
        <w:ind w:firstLine="420"/>
        <w:jc w:val="left"/>
      </w:pPr>
      <w:r>
        <w:rPr/>
        <w:t>城镇安全是城市发展的底线支撑，只有筑牢安全韧性根基，才能为城镇长期稳定发展提供核心保障。本次部署覆盖六大安全领域，构建全维度城镇安全防护网络。</w:t>
      </w:r>
    </w:p>
    <w:p>
      <w:pPr>
        <w:ind w:firstLine="420"/>
        <w:jc w:val="left"/>
      </w:pPr>
      <w:r>
        <w:rPr/>
        <w:t>生态安全层面，统筹蓝绿生态廊道建设，聚焦入河排污口整治与黑臭水体长效管控，守住生态环境安全底线。</w:t>
      </w:r>
    </w:p>
    <w:p>
      <w:pPr>
        <w:ind w:firstLine="420"/>
        <w:jc w:val="left"/>
      </w:pPr>
      <w:r>
        <w:rPr/>
        <w:t>公共运行安全层面，针对地下管线、轨道交通等核心设施建立风险排查与分级防控体系，完善应急避难场所建设，推进公共设施“平急两用”改造，夯实社区防灾基础。</w:t>
      </w:r>
    </w:p>
    <w:p>
      <w:pPr>
        <w:ind w:firstLine="420"/>
        <w:jc w:val="left"/>
      </w:pPr>
      <w:r>
        <w:rPr/>
        <w:t>建筑住房安全层面，健全工程质量全链条追溯体系，推进住宅质量问题防治，落实抗震安全常态化监测，完善房屋全生命周期管理制度，完成危旧房普查与自建房定期体检，实现住房安全全周期管控。</w:t>
      </w:r>
    </w:p>
    <w:p>
      <w:pPr>
        <w:pStyle w:val="3"/>
        <w:jc w:val="left"/>
      </w:pPr>
      <w:r>
        <w:rPr/>
        <w:t>第 37 页</w:t>
      </w:r>
    </w:p>
    <w:p>
      <w:pPr>
        <w:ind w:firstLine="420"/>
        <w:jc w:val="left"/>
      </w:pPr>
      <w:r>
        <w:rPr/>
        <w:t>城镇安全韧性构建聚焦两大核心方向，同步推进生命线工程加固与施工安全风险防范，夯实城市运行安全底座。</w:t>
      </w:r>
    </w:p>
    <w:p>
      <w:pPr>
        <w:ind w:firstLine="420"/>
        <w:jc w:val="left"/>
      </w:pPr>
      <w:r>
        <w:rPr/>
        <w:t>生命线工程加固围绕三大核心维度部署，构建多层级安全保障体系。完善水源、气源、热源多源头供给网络，建立跨区域协同调配与分级预警机制，破解单一供给中断风险；推进城市易涝点整治，健全“联排联调”运行模式，升级内涝监测预警能力，应对极端降雨威胁；科学规划应急救援专用通道，强化路网抗灾属性，保障灾时救援通路畅通。</w:t>
      </w:r>
    </w:p>
    <w:p>
      <w:pPr>
        <w:ind w:firstLine="420"/>
        <w:jc w:val="left"/>
      </w:pPr>
      <w:r>
        <w:rPr/>
        <w:t>施工安全防范聚焦三大关键风险强化管控。建立安全生产许可证动态核查机制，实现房屋市政工程安全生产责任保险全覆盖；深化消防安全“五查五改”，重点整治电动自行车充电隐患，严格管控施工动火作业；强化有限空间作业风险防控，刚性落实作业审批制度。</w:t>
      </w:r>
    </w:p>
    <w:p>
      <w:pPr>
        <w:ind w:firstLine="420"/>
        <w:jc w:val="left"/>
      </w:pPr>
      <w:r>
        <w:rPr/>
        <w:t>专栏明确两大示范工程，落地成都、泸州“平急两用”市政配套项目，推进危旧桥加固并布设物联感知设备，以重点项目带动全域韧性提升。</w:t>
      </w:r>
    </w:p>
    <w:p>
      <w:pPr>
        <w:pStyle w:val="3"/>
        <w:jc w:val="left"/>
      </w:pPr>
      <w:r>
        <w:rPr/>
        <w:t>第 38 页</w:t>
      </w:r>
    </w:p>
    <w:p>
      <w:pPr>
        <w:ind w:firstLine="420"/>
        <w:jc w:val="left"/>
      </w:pPr>
      <w:r>
        <w:rPr/>
        <w:t>历史文化是城市发展的根脉，四川省以摸清底数、整体保护、活化利用三位一体策略，构建系统化历史文化保护传承体系。</w:t>
      </w:r>
    </w:p>
    <w:p>
      <w:pPr>
        <w:ind w:firstLine="420"/>
        <w:jc w:val="left"/>
      </w:pPr>
      <w:r>
        <w:rPr/>
        <w:t>完成老城区与老街区专项调查，梳理全省历史文化资源的潜在分布，为后续保护工作奠定精准的数据基础。</w:t>
      </w:r>
    </w:p>
    <w:p>
      <w:pPr>
        <w:ind w:firstLine="420"/>
        <w:jc w:val="left"/>
      </w:pPr>
      <w:r>
        <w:rPr/>
        <w:t>出台省级保护条例，加快各级保护对象的认定公布，建立保护制度与濒危名单制度，构建层级清晰的保护框架，筑牢文化遗产的制度防线。</w:t>
      </w:r>
    </w:p>
    <w:p>
      <w:pPr>
        <w:ind w:firstLine="420"/>
        <w:jc w:val="left"/>
      </w:pPr>
      <w:r>
        <w:rPr/>
        <w:t>推动历史城区更新与产业转型融合，打造文商旅融合消费新场景，深化“三道两线”沿线合作，实现文化保护与城市发展的良性互动。</w:t>
      </w:r>
    </w:p>
    <w:p>
      <w:pPr>
        <w:pStyle w:val="3"/>
        <w:jc w:val="left"/>
      </w:pPr>
      <w:r>
        <w:rPr/>
        <w:t>第 39 页</w:t>
      </w:r>
    </w:p>
    <w:p>
      <w:pPr>
        <w:ind w:firstLine="420"/>
        <w:jc w:val="left"/>
      </w:pPr>
      <w:r>
        <w:rPr/>
        <w:t>四川历史文化资源富集，名城名镇名村是文化传承的核心载体。推动历史文化保护落地，不能停留在制度搭建层面，必须依托具体专项行动实现突破，专栏8确立两大专项行动路径，依靠重点项目牵引，带动全省文化遗产实现系统性保护。</w:t>
      </w:r>
    </w:p>
    <w:p>
      <w:pPr>
        <w:ind w:firstLine="420"/>
        <w:jc w:val="left"/>
      </w:pPr>
      <w:r>
        <w:rPr/>
        <w:t>当前核心任务聚焦历史文化名城、历史文化街区的申报与保护利用工程推进。申报工作扩充省级历史文化保护名录，夯实保护工作的基础底盘，保护利用工程同步兼顾文化传承与活化发展，既守住历史文脉根脉，又推动文化资源转化为城乡发展的独特优势，实现保护与发展的良性平衡。</w:t>
      </w:r>
    </w:p>
    <w:p>
      <w:pPr>
        <w:pStyle w:val="3"/>
        <w:jc w:val="left"/>
      </w:pPr>
      <w:r>
        <w:rPr/>
        <w:t>第 40 页</w:t>
      </w:r>
    </w:p>
    <w:p>
      <w:pPr>
        <w:ind w:firstLine="420"/>
        <w:jc w:val="left"/>
      </w:pPr>
      <w:r>
        <w:rPr/>
        <w:t>前面我们已经完成了城镇安全韧性筑牢与历史文化保护传承两大板块的内容阐述，这是城市高质量发展的基础支撑与文脉根基。接下来我们要进入第六部分，聚焦数智转型与治理，探索如何以数字技术赋能住建领域，推动城市治理实现效能升级，下面我们就来看具体的落地路径。</w:t>
      </w:r>
    </w:p>
    <w:p>
      <w:pPr>
        <w:pStyle w:val="3"/>
        <w:jc w:val="left"/>
      </w:pPr>
      <w:r>
        <w:rPr/>
        <w:t>第 41 页</w:t>
      </w:r>
    </w:p>
    <w:p>
      <w:pPr>
        <w:ind w:firstLine="420"/>
        <w:jc w:val="left"/>
      </w:pPr>
      <w:r>
        <w:rPr/>
        <w:t>筑牢城市数智治理底座，需搭建三层核心支撑体系，夯实住建领域数字化转型根基。</w:t>
      </w:r>
    </w:p>
    <w:p>
      <w:pPr>
        <w:ind w:firstLine="420"/>
        <w:jc w:val="left"/>
      </w:pPr>
      <w:r>
        <w:rPr/>
        <w:t>第一层构建分层分类的数据资源体系，统筹搭建省市两级基础库、主题库与专题库，打通城乡建设领域数据孤岛，实现数据资源标准化沉淀与统一管理。第二层搭建空天地一体化监测感知网络，实现全域全时段城市运行数据采集，全方位捕捉城市安全、建设、运行动态。第三层建设城市信息模型平台与省级数智住建综合大脑，打造中枢决策系统，统筹调度算力与数据资源。</w:t>
      </w:r>
    </w:p>
    <w:p>
      <w:pPr>
        <w:ind w:firstLine="420"/>
        <w:jc w:val="left"/>
      </w:pPr>
      <w:r>
        <w:rPr/>
        <w:t>数智能力最终落地三类核心应用场景：聚焦“一老一小”打造智慧民生关怀，搭建一体化城市运行管理服务平台绘制地下管网“一张图”，深化BIM、CIM技术应用升级，推动政务服务效率提升。</w:t>
      </w:r>
    </w:p>
    <w:p>
      <w:pPr>
        <w:pStyle w:val="3"/>
        <w:jc w:val="left"/>
      </w:pPr>
      <w:r>
        <w:rPr/>
        <w:t>第 42 页</w:t>
      </w:r>
    </w:p>
    <w:p>
      <w:pPr>
        <w:ind w:firstLine="420"/>
        <w:jc w:val="left"/>
      </w:pPr>
      <w:r>
        <w:rPr/>
        <w:t>激活城市住房建设领域的创新动能，核心要抓住数字技术变革的核心机遇，同步筑牢数据安全转型的底线。</w:t>
      </w:r>
    </w:p>
    <w:p>
      <w:pPr>
        <w:ind w:firstLine="420"/>
        <w:jc w:val="left"/>
      </w:pPr>
      <w:r>
        <w:rPr/>
        <w:t>推进“人工智能+”行动落地，覆盖城市治理、智能建造、行业监管、审批服务四大核心领域，推动人工智能技术与住建业务深度融合。研发住建领域专用大模型，针对高风险、高负荷施工场景推广建筑机器人，从根源降低施工安全风险。培育住建数据要素市场，聚焦房屋安全、城市体检等核心领域开展数据赋能示范，释放数据生产要素价值。构建国产自主可控软硬件生态，完成行业软件与国产主流芯片、操作系统的适配改造，夯实技术自主基础。</w:t>
      </w:r>
    </w:p>
    <w:p>
      <w:pPr>
        <w:ind w:firstLine="420"/>
        <w:jc w:val="left"/>
      </w:pPr>
      <w:r>
        <w:rPr/>
        <w:t>严格落实国产化信创替代要求，健全网络安全管理体系，定期开展安全风险评估与应急演练。依托专项专栏，深化三大AI应用场景建设，构建高质量行业数据集，为技术创新持续提供数据支撑。</w:t>
      </w:r>
    </w:p>
    <w:p>
      <w:pPr>
        <w:pStyle w:val="3"/>
        <w:jc w:val="left"/>
      </w:pPr>
      <w:r>
        <w:rPr/>
        <w:t>第 43 页</w:t>
      </w:r>
    </w:p>
    <w:p>
      <w:pPr>
        <w:ind w:firstLine="420"/>
        <w:jc w:val="left"/>
      </w:pPr>
      <w:r>
        <w:rPr/>
        <w:t>完善治理体系、推动资源下沉是提升城市治理效能的核心根基，四川构建起层级清晰、衔接顺畅的城市治理框架。</w:t>
      </w:r>
    </w:p>
    <w:p>
      <w:pPr>
        <w:ind w:firstLine="420"/>
        <w:jc w:val="left"/>
      </w:pPr>
      <w:r>
        <w:rPr/>
        <w:t>建立城市管理统筹协调机制，由党委或政府主要负责人牵头，充分发挥“一委一办一平台”的统筹作用，破解城市治理中跨部门协同难题。同步开展城市运行管理服务常态化评价，以评价牵引工作，精准补齐治理短板、强化薄弱环节。</w:t>
      </w:r>
    </w:p>
    <w:p>
      <w:pPr>
        <w:ind w:firstLine="420"/>
        <w:jc w:val="left"/>
      </w:pPr>
      <w:r>
        <w:rPr/>
        <w:t>推动城管力量下沉社区，实现宣传、服务、管理、执法四类资源直达基层，打通城市治理“最后一公里”。优化“吹哨报到”“接诉即办”“未诉先办”全流程机制，构建群众诉求闭环响应体系。修订全省统一行政处罚裁量基准，持续深化执法队伍专项建设，规范执法行为。推进“互联网+社区”数字化建设，延伸城乡综合治理数字化平台覆盖范围至中心镇，夯实基层治理数字化支撑。</w:t>
      </w:r>
    </w:p>
    <w:p>
      <w:pPr>
        <w:pStyle w:val="3"/>
        <w:jc w:val="left"/>
      </w:pPr>
      <w:r>
        <w:rPr/>
        <w:t>第 44 页</w:t>
      </w:r>
    </w:p>
    <w:p>
      <w:pPr>
        <w:ind w:firstLine="420"/>
        <w:jc w:val="left"/>
      </w:pPr>
      <w:r>
        <w:rPr/>
        <w:t>精细智慧化治理城市，核心是用绣花功夫叠加智慧手段，实现更精细、更有温度的城市管理，让城市空间更适配人民群众的美好生活需求。</w:t>
      </w:r>
    </w:p>
    <w:p>
      <w:pPr>
        <w:ind w:firstLine="420"/>
        <w:jc w:val="left"/>
      </w:pPr>
      <w:r>
        <w:rPr/>
        <w:t>深化街面环境卫生整治，重点推进背街小巷环境品质提升，常态化排查整改卫生脏乱问题，持续整治占道经营等群众反映强烈的城市管理突出问题，夯实城市整洁有序的基础。</w:t>
      </w:r>
    </w:p>
    <w:p>
      <w:pPr>
        <w:ind w:firstLine="420"/>
        <w:jc w:val="left"/>
      </w:pPr>
      <w:r>
        <w:rPr/>
        <w:t>健全垃圾分类全链条管理体系，推广智能环卫装备，搭建智慧监管平台，推动垃圾分类工作落地见效。</w:t>
      </w:r>
    </w:p>
    <w:p>
      <w:pPr>
        <w:ind w:firstLine="420"/>
        <w:jc w:val="left"/>
      </w:pPr>
      <w:r>
        <w:rPr/>
        <w:t>完善网格化治理机制，挖掘整合街头边角地、桥下空间、闲置空地等小微空间资源，实施小微公共空间改造，激活零散空间的民生服务价值。</w:t>
      </w:r>
    </w:p>
    <w:p>
      <w:pPr>
        <w:ind w:firstLine="420"/>
        <w:jc w:val="left"/>
      </w:pPr>
      <w:r>
        <w:rPr/>
        <w:t>深化大数据、云计算、人工智能等新一代信息技术运用，持续拓展城市治理智慧应用场景，以数字技术放大精细化管理效能。</w:t>
      </w:r>
    </w:p>
    <w:p>
      <w:pPr>
        <w:pStyle w:val="3"/>
        <w:jc w:val="left"/>
      </w:pPr>
      <w:r>
        <w:rPr/>
        <w:t>第 45 页</w:t>
      </w:r>
    </w:p>
    <w:p>
      <w:pPr>
        <w:ind w:firstLine="420"/>
        <w:jc w:val="left"/>
      </w:pPr>
      <w:r>
        <w:rPr/>
        <w:t>前面我们已经从具体路径到落地抓手，梳理了精细化城市治理的具体部署，所有规划蓝图要变为实景，都离不开坚实的实施保障。这一章我们就来聊聊如何通过法治引领、科技支撑、机制护航，为本次规划的落地见效筑牢后盾，接下来我们就从各保障模块展开具体说明。</w:t>
      </w:r>
    </w:p>
    <w:p>
      <w:pPr>
        <w:pStyle w:val="3"/>
        <w:jc w:val="left"/>
      </w:pPr>
      <w:r>
        <w:rPr/>
        <w:t>第 46 页</w:t>
      </w:r>
    </w:p>
    <w:p>
      <w:pPr>
        <w:ind w:firstLine="420"/>
        <w:jc w:val="left"/>
      </w:pPr>
      <w:r>
        <w:rPr/>
        <w:t>完善的制度体系是行业健康发展的根本支撑，四川住建将法治建设作为规划落地的首要保障，统筹推进立法与执法体系升级。紧密对接国家住建领域“十五五”立法规划，加快重点立法项目推进节奏，及时根据行业发展实践修订现行法规规章，构建适配转型需求的制度框架。落实行政执法责任制与行政执法“三项制度”，推动“双随机、一公开”监管与信用监管深度融合，筑牢规范有序的市场秩序。强化企业在平台建设、标准制定环节的主体作用，建立省级行业科技项目储备库，激活市场创新内生动力。</w:t>
      </w:r>
    </w:p>
    <w:p>
      <w:pPr>
        <w:ind w:firstLine="420"/>
        <w:jc w:val="left"/>
      </w:pPr>
      <w:r>
        <w:rPr/>
        <w:t>科技创新驱动住建行业高质量转型，四川住建聚焦核心领域突破技术瓶颈，围绕房屋品质提升、绿色建筑节能降碳、城市安全韧性、智能建造等关键方向集中攻关。深化川渝协同创新，共建川渝住建科技成果库，定期联合发布技术推广目录与市场机会清单，加速创新成果转化落地，为行业发展注入持续动能。</w:t>
      </w:r>
    </w:p>
    <w:p>
      <w:pPr>
        <w:pStyle w:val="3"/>
        <w:jc w:val="left"/>
      </w:pPr>
      <w:r>
        <w:rPr/>
        <w:t>第 47 页</w:t>
      </w:r>
    </w:p>
    <w:p>
      <w:pPr>
        <w:ind w:firstLine="420"/>
        <w:jc w:val="left"/>
      </w:pPr>
      <w:r>
        <w:rPr/>
        <w:t>夯实行业发展基础，需从标准供给与统计体系建设两端发力。五年内计划完成100项地方标准发布，聚焦重点领域补齐标准短板，推动现有标准提档升级，同时严格落实新发标准100%部门间查重，避免标准交叉冲突，保障标准体系统一协调。</w:t>
      </w:r>
    </w:p>
    <w:p>
      <w:pPr>
        <w:ind w:firstLine="420"/>
        <w:jc w:val="left"/>
      </w:pPr>
      <w:r>
        <w:rPr/>
        <w:t>健全住建行业统计调查制度，打通统计数据共享通道，完善从数据收集、审核到综合评价的全流程闭环机制，为行业决策提供精准数据支撑。</w:t>
      </w:r>
    </w:p>
    <w:p>
      <w:pPr>
        <w:ind w:firstLine="420"/>
        <w:jc w:val="left"/>
      </w:pPr>
      <w:r>
        <w:rPr/>
        <w:t>筑牢行业发展根本，聚焦人才队伍建设推出三项核心举措。实施“建设英才”培养计划，分层集聚高端工程人才与技能工匠。打造“川建川军”特色品牌，培育现代建筑产业工人与乡村建设工匠。共建川渝产教融合平台，建成智能建造人才共享库，实现资质互认、职称互通，凝聚区域人才发展合力。</w:t>
      </w:r>
    </w:p>
    <w:p>
      <w:pPr>
        <w:pStyle w:val="3"/>
        <w:jc w:val="left"/>
      </w:pPr>
      <w:r>
        <w:rPr/>
        <w:t>第 48 页</w:t>
      </w:r>
    </w:p>
    <w:p>
      <w:pPr>
        <w:ind w:firstLine="420"/>
        <w:jc w:val="left"/>
      </w:pPr>
      <w:r>
        <w:rPr/>
        <w:t>将五年规划蓝图转化为住建事业发展实景，离不开系统性实施机制的支撑，需要凝聚多方合力保障各项目标落地。</w:t>
      </w:r>
    </w:p>
    <w:p>
      <w:pPr>
        <w:ind w:firstLine="420"/>
        <w:jc w:val="left"/>
      </w:pPr>
      <w:r>
        <w:rPr/>
        <w:t>发挥党总揽全局、协调各方的领导核心作用，压实市县住建行政主管部门的主体责任，构建自上而下的责任落实体系，锚定规划方向不偏移。</w:t>
      </w:r>
    </w:p>
    <w:p>
      <w:pPr>
        <w:ind w:firstLine="420"/>
        <w:jc w:val="left"/>
      </w:pPr>
      <w:r>
        <w:rPr/>
        <w:t>建立差异化激励引导机制，在项目安排、资金分配、试点示范遴选环节，优先支持规划实施成效突出的地区，充分调动地方推进工作的主动性。</w:t>
      </w:r>
    </w:p>
    <w:p>
      <w:pPr>
        <w:ind w:firstLine="420"/>
        <w:jc w:val="left"/>
      </w:pPr>
      <w:r>
        <w:rPr/>
        <w:t>构建全周期监测评估体系，健全“年度监测分析—中期评估—总结评估”的完整链条，对推进滞后的试点示范执行限期整改与动态退出机制，保障规划推进节奏。</w:t>
      </w:r>
    </w:p>
    <w:p>
      <w:pPr>
        <w:ind w:firstLine="420"/>
        <w:jc w:val="left"/>
      </w:pPr>
      <w:r>
        <w:rPr/>
        <w:t>搭建省级项目管理一体化平台，形成“精细管控+协同共治”的管理模式，优先保障重大项目要素供给，强化资金统筹，积极争取中央预算内投资、专项补助资金、超长期特别国债，用好省级财政城乡建设发展专项资金，筑牢规划实施的物质基础。</w:t>
      </w:r>
    </w:p>
    <w:p>
      <w:pPr>
        <w:pStyle w:val="3"/>
        <w:jc w:val="left"/>
      </w:pPr>
      <w:r>
        <w:rPr/>
        <w:t>第 49 页</w:t>
      </w:r>
    </w:p>
    <w:p>
      <w:pPr>
        <w:ind w:firstLine="420"/>
        <w:jc w:val="left"/>
      </w:pPr>
      <w:r>
        <w:rPr/>
        <w:t>各位领导、各位同仁，刚刚我们已经梳理了本次规划从顶层设计到落地执行的全链条保障体系，现在我们来到本次规划的最终落点。</w:t>
      </w:r>
    </w:p>
    <w:p>
      <w:pPr>
        <w:ind w:firstLine="420"/>
        <w:jc w:val="left"/>
      </w:pPr>
      <w:r>
        <w:rPr/>
        <w:t>作为四川住建事业发展的五年规划，我们一切工作的出发点和落脚点，始终是人民。接下来这一页，就是我们对全体人民的承诺：我们将始终坚持以人民为中心，全力建设“公园城市、安逸家园”，接下来，让我们共同奋力谱写四川住建事业高质量发展的崭新篇章。</w:t>
      </w:r>
    </w:p>
    <w:sectPr>
      <w:pgSz w:w="11906" w:h="16838" w:orient="portrait"/>
      <w:pgMar w:top="1440" w:right="1803" w:bottom="1440" w:left="1803" w:header="13" w:footer="13" w:gutter="0"/>
      <w:cols w:space="0" w:num="1"/>
      <w:docGrid w:type="lines" w:linePitch="24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微软雅黑">
    <w:panose1 w:val="020B0503020204020204"/>
    <w:charset w:val="86"/>
    <w:family w:val="auto"/>
    <w:pitch w:val="default"/>
    <w:sig w:usb0="80000287" w:usb1="2ACF3C50" w:usb2="00000016" w:usb3="00000000" w:csb0="0004001F" w:csb1="00000000"/>
  </w:font>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ymbol">
    <w:panose1 w:val="05050102010706020507"/>
    <w:charset w:val="02"/>
    <w:family w:val="roman"/>
    <w:pitch w:val="default"/>
    <w:sig w:usb0="00000000" w:usb1="00000000" w:usb2="00000000" w:usb3="00000000" w:csb0="80000000" w:csb1="00000000"/>
  </w:font>
  <w:font w:name="Segoe UI Emoji">
    <w:altName w:val="Noto Color Emoji"/>
    <w:panose1 w:val="020B0502040204020203"/>
    <w:charset w:val="00"/>
    <w:family w:val="auto"/>
    <w:pitch w:val="default"/>
    <w:sig w:usb0="00000001" w:usb1="02000000" w:usb2="00000000" w:usb3="00000000" w:csb0="00000001" w:csb1="00000000"/>
  </w:font>
</w:fonts>
</file>

<file path=word/numbering.xml><?xml version="1.0" encoding="utf-8"?>
<w:numbering xmlns:r="http://schemas.openxmlformats.org/officeDocument/2006/relationships" xmlns:w="http://schemas.openxmlformats.org/wordprocessingml/2006/main">
  <w:abstractNum w:abstractNumId="1">
    <w:nsid w:val="20000001"/>
    <w:multiLevelType w:val="singleLevel"/>
    <w:tmpl w:val="20000001"/>
    <w:lvl w:ilvl="0" w:tentative="0">
      <w:start w:val="1"/>
      <w:numFmt w:val="decimal"/>
      <w:pStyle w:val="15"/>
      <w:suff w:val="space"/>
      <w:lvlText w:val="%1 "/>
      <w:lvlJc w:val="right"/>
      <w:pPr/>
      <w:rPr>
        <w:rFonts w:ascii="微软雅黑" w:hAnsi="微软雅黑" w:eastAsia="微软雅黑" w:cs="微软雅黑"/>
        <w:color w:val="C0C6CF"/>
        <w:sz w:val="16"/>
      </w:rPr>
    </w:lvl>
  </w:abstractNum>
  <w:abstractNum w:abstractNumId="2">
    <w:nsid w:val="20000002"/>
    <w:multiLevelType w:val="multilevel"/>
    <w:tmpl w:val="20000002"/>
    <w:lvl w:ilvl="0" w:tentative="0">
      <w:start w:val="1"/>
      <w:numFmt w:val="bullet"/>
      <w:lvlText w:val=""/>
      <w:pPr>
        <w:ind w:left="420" w:hanging="420"/>
      </w:pPr>
      <w:rPr>
        <w:rFonts w:ascii="Wingdings" w:hAnsi="Wingdings" w:eastAsia="Wingdings" w:cs="Wingdings"/>
      </w:rPr>
    </w:lvl>
    <w:lvl w:ilvl="1" w:tentative="0">
      <w:start w:val="1"/>
      <w:numFmt w:val="bullet"/>
      <w:lvlText w:val="¢"/>
      <w:pPr>
        <w:ind w:left="840" w:hanging="420"/>
      </w:pPr>
      <w:rPr>
        <w:rFonts w:ascii="Wingdings" w:hAnsi="Wingdings" w:eastAsia="Wingdings" w:cs="Wingdings"/>
      </w:rPr>
    </w:lvl>
    <w:lvl w:ilvl="2" w:tentative="0">
      <w:start w:val="1"/>
      <w:numFmt w:val="bullet"/>
      <w:lvlText w:val=""/>
      <w:pPr>
        <w:ind w:left="1260" w:hanging="420"/>
      </w:pPr>
      <w:rPr>
        <w:rFonts w:ascii="Wingdings" w:hAnsi="Wingdings" w:eastAsia="Wingdings" w:cs="Wingdings"/>
      </w:rPr>
    </w:lvl>
    <w:lvl w:ilvl="3" w:tentative="0">
      <w:start w:val="1"/>
      <w:numFmt w:val="bullet"/>
      <w:lvlText w:val=""/>
      <w:pPr>
        <w:ind w:left="1680" w:hanging="420"/>
      </w:pPr>
      <w:rPr>
        <w:rFonts w:ascii="Wingdings" w:hAnsi="Wingdings" w:eastAsia="Wingdings" w:cs="Wingdings"/>
      </w:rPr>
    </w:lvl>
    <w:lvl w:ilvl="4" w:tentative="0">
      <w:start w:val="1"/>
      <w:numFmt w:val="bullet"/>
      <w:lvlText w:val="¢"/>
      <w:pPr>
        <w:ind w:left="2100" w:hanging="420"/>
      </w:pPr>
      <w:rPr>
        <w:rFonts w:ascii="Wingdings" w:hAnsi="Wingdings" w:eastAsia="Wingdings" w:cs="Wingdings"/>
      </w:rPr>
    </w:lvl>
    <w:lvl w:ilvl="5" w:tentative="0">
      <w:start w:val="1"/>
      <w:numFmt w:val="bullet"/>
      <w:lvlText w:val=""/>
      <w:pPr>
        <w:ind w:left="2520" w:hanging="420"/>
      </w:pPr>
      <w:rPr>
        <w:rFonts w:ascii="Wingdings" w:hAnsi="Wingdings" w:eastAsia="Wingdings" w:cs="Wingdings"/>
      </w:rPr>
    </w:lvl>
    <w:lvl w:ilvl="6" w:tentative="0">
      <w:start w:val="1"/>
      <w:numFmt w:val="bullet"/>
      <w:lvlText w:val=""/>
      <w:pPr>
        <w:ind w:left="2940" w:hanging="420"/>
      </w:pPr>
      <w:rPr>
        <w:rFonts w:ascii="Wingdings" w:hAnsi="Wingdings" w:eastAsia="Wingdings" w:cs="Wingdings"/>
      </w:rPr>
    </w:lvl>
    <w:lvl w:ilvl="7" w:tentative="0">
      <w:start w:val="1"/>
      <w:numFmt w:val="bullet"/>
      <w:lvlText w:val="¢"/>
      <w:pPr>
        <w:ind w:left="3360" w:hanging="420"/>
      </w:pPr>
      <w:rPr>
        <w:rFonts w:ascii="Wingdings" w:hAnsi="Wingdings" w:eastAsia="Wingdings" w:cs="Wingding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42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name w:val="Normal"/>
    <w:uiPriority w:val="0"/>
    <w:qFormat/>
    <w:pPr>
      <w:textAlignment w:val="baseline"/>
    </w:pPr>
    <w:rPr>
      <w:rFonts w:ascii="微软雅黑" w:hAnsi="微软雅黑" w:eastAsia="微软雅黑" w:cs="微软雅黑"/>
      <w:color w:val="080f17"/>
      <w:sz w:val="22"/>
    </w:rPr>
  </w:style>
  <w:style w:type="paragraph" w:styleId="2">
    <w:name w:val="MainTitle"/>
    <w:basedOn w:val="1"/>
    <w:uiPriority w:val="0"/>
    <w:qFormat/>
    <w:pPr>
      <w:pBdr>
        <w:bottom w:val="single" w:color="e2e6ed" w:sz="6" w:space="5"/>
      </w:pBdr>
      <w:spacing w:before="180" w:after="480" w:line="780" w:lineRule="exact"/>
    </w:pPr>
    <w:rPr>
      <w:b/>
      <w:sz w:val="44"/>
    </w:rPr>
  </w:style>
  <w:style w:type="paragraph" w:styleId="3">
    <w:name w:val="heading 1"/>
    <w:basedOn w:val="1"/>
    <w:uiPriority w:val="0"/>
    <w:qFormat/>
    <w:pPr>
      <w:spacing w:before="390" w:after="120" w:line="634" w:lineRule="exact"/>
      <w:outlineLvl w:val="0"/>
    </w:pPr>
    <w:rPr>
      <w:b/>
      <w:sz w:val="38"/>
    </w:rPr>
  </w:style>
  <w:style w:type="paragraph" w:styleId="4">
    <w:name w:val="heading 2"/>
    <w:basedOn w:val="1"/>
    <w:uiPriority w:val="0"/>
    <w:qFormat/>
    <w:pPr>
      <w:spacing w:before="330" w:after="120" w:line="536" w:lineRule="exact"/>
      <w:outlineLvl w:val="1"/>
    </w:pPr>
    <w:rPr>
      <w:b/>
      <w:sz w:val="32"/>
    </w:rPr>
  </w:style>
  <w:style w:type="paragraph" w:styleId="5">
    <w:name w:val="heading 3"/>
    <w:basedOn w:val="1"/>
    <w:uiPriority w:val="0"/>
    <w:qFormat/>
    <w:pPr>
      <w:spacing w:before="300" w:after="120" w:line="488" w:lineRule="exact"/>
      <w:outlineLvl w:val="2"/>
    </w:pPr>
    <w:rPr>
      <w:b/>
      <w:sz w:val="30"/>
    </w:rPr>
  </w:style>
  <w:style w:type="paragraph" w:styleId="6">
    <w:name w:val="heading 4"/>
    <w:basedOn w:val="1"/>
    <w:uiPriority w:val="0"/>
    <w:qFormat/>
    <w:pPr>
      <w:spacing w:before="270" w:after="120" w:line="439" w:lineRule="exact"/>
      <w:outlineLvl w:val="3"/>
    </w:pPr>
    <w:rPr>
      <w:b/>
      <w:sz w:val="26"/>
    </w:rPr>
  </w:style>
  <w:style w:type="paragraph" w:styleId="7">
    <w:name w:val="heading 5"/>
    <w:basedOn w:val="1"/>
    <w:uiPriority w:val="0"/>
    <w:qFormat/>
    <w:pPr>
      <w:spacing w:before="240" w:after="120" w:line="390" w:lineRule="exact"/>
      <w:outlineLvl w:val="4"/>
    </w:pPr>
    <w:rPr>
      <w:b/>
      <w:sz w:val="22"/>
    </w:rPr>
  </w:style>
  <w:style w:type="paragraph" w:styleId="8">
    <w:name w:val="heading 6"/>
    <w:basedOn w:val="1"/>
    <w:uiPriority w:val="0"/>
    <w:qFormat/>
    <w:pPr>
      <w:spacing w:before="240" w:after="120" w:line="390" w:lineRule="exact"/>
      <w:outlineLvl w:val="5"/>
    </w:pPr>
    <w:rPr>
      <w:b/>
      <w:sz w:val="22"/>
    </w:rPr>
  </w:style>
  <w:style w:type="table" w:styleId="9">
    <w:name w:val="Table Grid"/>
    <w:basedOn w:val="1"/>
    <w:uiPriority w:val="0"/>
    <w:qFormat/>
    <w:rPr/>
    <w:tblPr>
      <w:tblInd w:w="120" w:type="dxa"/>
      <w:tblBorders>
        <w:top w:val="single" w:color="080f17" w:sz="6" w:space="0"/>
        <w:left w:val="single" w:color="080f17" w:sz="6" w:space="0"/>
        <w:bottom w:val="single" w:color="080f17" w:sz="6" w:space="0"/>
        <w:right w:val="single" w:color="080f17" w:sz="6" w:space="0"/>
        <w:insideH w:val="single" w:color="080f17" w:sz="6" w:space="0"/>
        <w:insideV w:val="single" w:color="080f17" w:sz="6" w:space="0"/>
      </w:tblBorders>
      <w:tblCellMar>
        <w:left w:w="108" w:type="dxa"/>
        <w:right w:w="108" w:type="dxa"/>
      </w:tblCellMar>
    </w:tblPr>
  </w:style>
  <w:style w:type="character" w:styleId="10">
    <w:name w:val="Hyperlink"/>
    <w:uiPriority w:val="0"/>
    <w:qFormat/>
    <w:rPr>
      <w:color w:val="0A6CFF"/>
      <w:u w:val="single" w:color="0A6CFF"/>
    </w:rPr>
  </w:style>
  <w:style w:type="character" w:styleId="11">
    <w:name w:val="DateTime"/>
    <w:uiPriority w:val="0"/>
    <w:qFormat/>
    <w:rPr>
      <w:color w:val="0A6CFF"/>
    </w:rPr>
  </w:style>
  <w:style w:type="paragraph" w:styleId="12">
    <w:name w:val="Blockquote"/>
    <w:basedOn w:val="1"/>
    <w:uiPriority w:val="0"/>
    <w:qFormat/>
    <w:pPr>
      <w:pBdr>
        <w:left w:val="single" w:color="e2e6ed" w:sz="36" w:space="12"/>
      </w:pBdr>
      <w:ind w:left="330" w:firstLine="0"/>
    </w:pPr>
    <w:rPr>
      <w:color w:val="767c85"/>
      <w:sz w:val="22"/>
    </w:rPr>
  </w:style>
  <w:style w:type="character" w:styleId="13">
    <w:name w:val="Code"/>
    <w:uiPriority w:val="0"/>
    <w:qFormat/>
    <w:rPr>
      <w:bdr w:val="single" w:color="e2e6ed" w:sz="6"/>
    </w:rPr>
  </w:style>
  <w:style w:type="character" w:styleId="14">
    <w:name w:val="Emoji"/>
    <w:uiPriority w:val="0"/>
    <w:qFormat/>
    <w:rPr>
      <w:rFonts w:ascii="Segoe UI Emoji" w:hAnsi="Segoe UI Emoji" w:eastAsia="Segoe UI Emoji" w:cs="Segoe UI Emoji"/>
    </w:rPr>
  </w:style>
  <w:style w:type="paragraph" w:styleId="15">
    <w:name w:val="CodeBlock"/>
    <w:basedOn w:val="1"/>
    <w:uiPriority w:val="0"/>
    <w:qFormat/>
    <w:pPr>
      <w:numPr>
        <w:ilvl w:val="0"/>
        <w:numId w:val="1"/>
      </w:numPr>
      <w:pBdr>
        <w:top w:val="single" w:color="e2e6ed" w:sz="6" w:space="8"/>
        <w:left w:val="single" w:color="e2e6ed" w:sz="6" w:space="26"/>
        <w:bottom w:val="single" w:color="e2e6ed" w:sz="6" w:space="8"/>
        <w:right w:val="single" w:color="e2e6ed" w:sz="6" w:space="0"/>
      </w:pBdr>
      <w:shd w:val="clear" w:color="ffffff" w:fill="f5f7f9"/>
      <w:spacing w:before="0" w:after="0" w:line="300" w:lineRule="exact"/>
      <w:ind w:left="540" w:firstLine="0"/>
    </w:pPr>
    <w:rPr>
      <w:sz w:val="18"/>
    </w:rPr>
  </w:style>
  <w:style w:type="table" w:styleId="16">
    <w:name w:val="HighlightBlock"/>
    <w:basedOn w:val="1"/>
    <w:uiPriority w:val="0"/>
    <w:qFormat/>
    <w:rPr/>
    <w:tblPr>
      <w:tblInd w:w="120" w:type="dxa"/>
      <w:tblBorders>
        <w:top w:val="single" w:color="FEC794" w:sz="6" w:space="0"/>
        <w:left w:val="single" w:color="FEC794" w:sz="6" w:space="0"/>
        <w:bottom w:val="single" w:color="FEC794" w:sz="6" w:space="0"/>
        <w:right w:val="single" w:color="FEC794" w:sz="6" w:space="0"/>
        <w:insideH w:val="single" w:color="FEC794" w:sz="6" w:space="0"/>
        <w:insideV w:val="single" w:color="FEC794" w:sz="6" w:space="0"/>
      </w:tblBorders>
      <w:shd w:val="clear" w:color="ffffff" w:fill="FAF1E6"/>
      <w:tblCellMar>
        <w:left w:w="108" w:type="dxa"/>
        <w:right w:w="108" w:type="dxa"/>
      </w:tblCellMar>
    </w:tblPr>
  </w:style>
  <w:style w:type="paragraph" w:styleId="17">
    <w:name w:val="Seperate"/>
    <w:basedOn w:val="1"/>
    <w:uiPriority w:val="0"/>
    <w:qFormat/>
    <w:pPr>
      <w:spacing w:before="0" w:after="0" w:line="120" w:lineRule="exact"/>
    </w:pPr>
    <w:rPr/>
  </w:style>
</w:styles>
</file>

<file path=word/_rels/document.xml.rels><?xml version="1.0" encoding="UTF-8" standalone="yes"?><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app.xml><?xml version="1.0" encoding="utf-8"?>
<Properties xmlns="http://schemas.openxmlformats.org/officeDocument/2006/extended-properties" xmlns:vt="http://schemas.openxmlformats.org/officeDocument/2006/docPropsVTypes">
  <Template>Normal.dotm</Template>
  <TotalTime>1</TotalTime>
  <LinksUpToDate>false</LinksUpToDate>
  <Application>WPS Office</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webotl</dc:creator>
  <cp:lastModifiedBy>webotl</cp:lastModifiedBy>
  <dcterms:created xsi:type="dcterms:W3CDTF">2026-08-31T17:58:47Z</dcterms:created>
  <dcterms:modified xsi:type="dcterms:W3CDTF">2026-08-31T17:58:47Z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webotl</vt:lpwstr>
  </property>
</Properties>
</file>